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1" w:rsidRDefault="000636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137"/>
        <w:gridCol w:w="5147"/>
        <w:gridCol w:w="5224"/>
      </w:tblGrid>
      <w:tr w:rsidR="00063601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01" w:rsidRDefault="00E93189">
            <w:pPr>
              <w:rPr>
                <w:rFonts w:ascii="sans-serif" w:eastAsia="sans-serif" w:hAnsi="sans-serif" w:cs="sans-serif"/>
                <w:b/>
                <w:u w:val="single"/>
              </w:rPr>
            </w:pPr>
            <w:r>
              <w:rPr>
                <w:rFonts w:ascii="sans-serif" w:eastAsia="sans-serif" w:hAnsi="sans-serif" w:cs="sans-serif"/>
                <w:b/>
                <w:u w:val="single"/>
              </w:rPr>
              <w:t>Programmes 2018</w:t>
            </w:r>
          </w:p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Attendus de fin de cycle 2</w:t>
            </w:r>
          </w:p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« Calcul mental »</w:t>
            </w:r>
          </w:p>
        </w:tc>
        <w:tc>
          <w:tcPr>
            <w:tcW w:w="1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- comprendre et utiliser des nombres entiers pour dénombrer, ordonner, repérer, comparer</w:t>
            </w:r>
          </w:p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- nommer, lire, écrire, représenter des nombres entiers</w:t>
            </w:r>
          </w:p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- résoudre des problèmes en utilisant des nombres entiers et le calcul</w:t>
            </w:r>
          </w:p>
          <w:p w:rsidR="00063601" w:rsidRDefault="00E93189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- calculer avec des nombres entiers</w:t>
            </w:r>
          </w:p>
        </w:tc>
      </w:tr>
      <w:tr w:rsidR="00063601">
        <w:tc>
          <w:tcPr>
            <w:tcW w:w="41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Progression : compétences CP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1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2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5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10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décompositions de 10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•Décomposer un nombre inférieur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>̀ 10 à l’aide du nombre 5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•Décomposer un nombre inférieur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>̀ 20 à l’aide du nombre 10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•Additionner deux nombres dont la somme est inférieure à 10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•Décomposer un nombre inférieur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>̀ 10 sous forme additive (2, 3… termes)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doubles des nombres inférieurs à 10 et les moitiés correspondantes.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•Maîtriser le répertoire additif : Compléments, différences et décompositions associées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de</w:t>
            </w:r>
            <w:r>
              <w:rPr>
                <w:color w:val="000000"/>
              </w:rPr>
              <w:t>s sommes des différences et des compléments du type 20+7, 27-7, 20 pour aller à 27.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doubles et les moitiés correspondantes de nombres-clés : 10, 20, 30, 40, 50, 100, 15, 25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Progression : compétences CE1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2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</w:t>
            </w:r>
            <w:r>
              <w:rPr>
                <w:color w:val="000000"/>
              </w:rPr>
              <w:t>etrancher 5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10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100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compléments à 20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compléments aux dizaines supérieures à 20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•Maîtriser le répertoire additif : Compléments, différences et décompositions associées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•Calculer des </w:t>
            </w:r>
            <w:r>
              <w:rPr>
                <w:color w:val="000000"/>
              </w:rPr>
              <w:t>sommes des différences et des compléments du type 20+7, 27-7, 20 pour aller à 27.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des sommes des différences et des compléments du type 200+37, 237-37, 200 pour aller à 237.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entre elles des dizaines ou des centaines, calculer les compléments correspondants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doubles et les moitiés correspondantes de nombres-clés: 10, 20, 30, 40, 50, 100, 200, 300, 400, 15, 25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tables de multipl</w:t>
            </w:r>
            <w:r>
              <w:rPr>
                <w:color w:val="000000"/>
              </w:rPr>
              <w:t>ication par 2, 5, 4 puis 3.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•Multiplier par 10 et 100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les doubles de nombres inférieurs à 50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les moitiés de nombres pairs inférieurs à 100, connaître des tiers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le produit de deux nombres inférieurs à 10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Progression : compétenc</w:t>
            </w:r>
            <w:r>
              <w:rPr>
                <w:b/>
                <w:color w:val="000000"/>
              </w:rPr>
              <w:t>es CE2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•Maîtriser le répertoire additif (tables d’addition) : sommes de deux nombres entiers inférieurs à 10, compléments, différences et décompositions associés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doubles, les moitiés, les triples et les tiers, les quadruples et les quarts de</w:t>
            </w:r>
            <w:r>
              <w:rPr>
                <w:color w:val="000000"/>
              </w:rPr>
              <w:t xml:space="preserve"> nombres « repères » : les multiples de 10, de 5 ; en particulier, 25, 50, 75 et 100. 15,30,45, 60,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•Connaître les tables de multiplication par 2, 3, 4, 5, 6 et les utiliser pour calculer un produit ou un quotient entier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ou retrancher entre el</w:t>
            </w:r>
            <w:r>
              <w:rPr>
                <w:color w:val="000000"/>
              </w:rPr>
              <w:t>les des dizaines, des centaines, des milliers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•Ajouter 9, Ajouter 11, ajouter 99, ajouter 101…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•Calculer avec des nombres entiers, des sommes, des différences ou des compléments du type 200 + 70, 270-70, 200 pour aller à 270, ou 2000 + 37, 2037 – 37, 2000 </w:t>
            </w:r>
            <w:r>
              <w:rPr>
                <w:color w:val="000000"/>
              </w:rPr>
              <w:t>pour aller à 2037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•Retrancher 9, retrancher 11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les compléments d’un nombre entier à la dizaine supérieure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•Calculer les compléments à 100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•Ajouter ou soustraire un nombre entier (inférieur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>̀ 10) d’unités, de dizaines, de centaines, de milliers… à un nombre quelconque, dans des cas sans retenue et dans des cas avec retenue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•Multiplier par 10, 100, 1000…sur les nombres entiers</w:t>
            </w:r>
          </w:p>
          <w:p w:rsidR="00063601" w:rsidRDefault="00E9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•Diviser par 2</w:t>
            </w:r>
            <w:r>
              <w:rPr>
                <w:color w:val="000000"/>
              </w:rPr>
              <w:t>, par 5…</w:t>
            </w:r>
          </w:p>
        </w:tc>
      </w:tr>
    </w:tbl>
    <w:p w:rsidR="00E96A96" w:rsidRDefault="00E96A96" w:rsidP="00E96A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1325"/>
        <w:gridCol w:w="3822"/>
        <w:gridCol w:w="5224"/>
      </w:tblGrid>
      <w:tr w:rsidR="00E96A96" w:rsidTr="00241873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96" w:rsidRDefault="00E96A96" w:rsidP="0068441E">
            <w:pPr>
              <w:rPr>
                <w:rFonts w:ascii="sans-serif" w:eastAsia="sans-serif" w:hAnsi="sans-serif" w:cs="sans-serif"/>
                <w:b/>
                <w:u w:val="single"/>
              </w:rPr>
            </w:pPr>
            <w:r>
              <w:rPr>
                <w:rFonts w:ascii="sans-serif" w:eastAsia="sans-serif" w:hAnsi="sans-serif" w:cs="sans-serif"/>
                <w:b/>
                <w:u w:val="single"/>
              </w:rPr>
              <w:t>Programmes 2018</w:t>
            </w:r>
          </w:p>
          <w:p w:rsidR="00E96A96" w:rsidRDefault="00E96A96" w:rsidP="0068441E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Repères de progressivité</w:t>
            </w:r>
            <w:r w:rsidR="00241873">
              <w:rPr>
                <w:rFonts w:ascii="sans-serif" w:eastAsia="sans-serif" w:hAnsi="sans-serif" w:cs="sans-serif"/>
                <w:b/>
                <w:sz w:val="20"/>
                <w:szCs w:val="20"/>
              </w:rPr>
              <w:t xml:space="preserve"> cycle 2</w:t>
            </w:r>
          </w:p>
          <w:p w:rsidR="00E96A96" w:rsidRDefault="00E96A96" w:rsidP="0068441E">
            <w:pPr>
              <w:rPr>
                <w:rFonts w:ascii="sans-serif" w:eastAsia="sans-serif" w:hAnsi="sans-serif" w:cs="sans-serif"/>
                <w:b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b/>
                <w:sz w:val="20"/>
                <w:szCs w:val="20"/>
              </w:rPr>
              <w:t>« Calcul mental »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96" w:rsidRPr="00E96A96" w:rsidRDefault="00E96A96" w:rsidP="00241873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E96A96">
              <w:rPr>
                <w:rFonts w:ascii="Arial" w:eastAsia="Times New Roman" w:hAnsi="Arial" w:cs="Arial"/>
                <w:sz w:val="16"/>
                <w:szCs w:val="16"/>
              </w:rPr>
              <w:t>En ce qui concerne le calcul, les élèves établissent puis doivent progressivement mémoriser des faits numériques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96A96">
              <w:rPr>
                <w:rFonts w:ascii="Arial" w:eastAsia="Times New Roman" w:hAnsi="Arial" w:cs="Arial"/>
                <w:sz w:val="16"/>
                <w:szCs w:val="16"/>
              </w:rPr>
              <w:t xml:space="preserve">et des procédures. </w:t>
            </w:r>
          </w:p>
        </w:tc>
      </w:tr>
      <w:tr w:rsidR="00E96A96" w:rsidTr="0068441E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Faits numériques</w:t>
            </w:r>
            <w:r>
              <w:rPr>
                <w:b/>
                <w:color w:val="000000"/>
              </w:rPr>
              <w:t xml:space="preserve"> CP</w:t>
            </w:r>
          </w:p>
          <w:p w:rsid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Automatisation de la reconnaissance des quantités inférieures à 10</w:t>
            </w:r>
          </w:p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Compléments à 10</w:t>
            </w:r>
          </w:p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Décompositions additives des nombres inférieurs à 10</w:t>
            </w:r>
          </w:p>
          <w:p w:rsid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Doubles des nombres inférieurs à 10</w:t>
            </w:r>
          </w:p>
          <w:p w:rsid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Moitié des nombres inférieurs à 20</w:t>
            </w:r>
          </w:p>
          <w:p w:rsid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Mémorisation des résultats des tables d’addition</w:t>
            </w:r>
          </w:p>
          <w:p w:rsidR="00B71154" w:rsidRDefault="00B71154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96A96" w:rsidRP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Procédur</w:t>
            </w:r>
            <w:r>
              <w:rPr>
                <w:b/>
                <w:color w:val="000000"/>
              </w:rPr>
              <w:t>es CP</w:t>
            </w:r>
          </w:p>
          <w:p w:rsidR="00E96A96" w:rsidRDefault="00E96A96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Développer des procédures de calcul mobilisant des propriétés additives (« 2 + 9 c’est pareil que 9 + 2 »)</w:t>
            </w:r>
          </w:p>
        </w:tc>
        <w:tc>
          <w:tcPr>
            <w:tcW w:w="5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Faits numériques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CE1</w:t>
            </w:r>
          </w:p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Compléments à la dizaine et centaine supérieure</w:t>
            </w:r>
          </w:p>
          <w:p w:rsidR="00E96A96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rPr>
                <w:color w:val="000000"/>
              </w:rPr>
              <w:t>D</w:t>
            </w:r>
            <w:r w:rsidR="00E06381" w:rsidRPr="00E06381">
              <w:rPr>
                <w:color w:val="000000"/>
              </w:rPr>
              <w:t>oubles et moitiés de nombres d’usage courant (nombres inférieurs à 10, dizaines entières</w:t>
            </w:r>
            <w:r w:rsidR="00E06381">
              <w:rPr>
                <w:color w:val="000000"/>
              </w:rPr>
              <w:t xml:space="preserve"> inférieures à 100, 25, 50, 100 ;</w:t>
            </w:r>
            <w:r w:rsidR="00E93189">
              <w:rPr>
                <w:color w:val="000000"/>
              </w:rPr>
              <w:t xml:space="preserve"> y compris et la table d</w:t>
            </w:r>
            <w:r w:rsidR="00E93189" w:rsidRPr="00E06381">
              <w:rPr>
                <w:color w:val="000000"/>
              </w:rPr>
              <w:t>e</w:t>
            </w:r>
            <w:r w:rsidR="00E06381" w:rsidRPr="00E06381">
              <w:rPr>
                <w:color w:val="000000"/>
              </w:rPr>
              <w:t xml:space="preserve"> multiplication par 2</w:t>
            </w:r>
            <w:r w:rsidR="00E06381">
              <w:rPr>
                <w:color w:val="000000"/>
              </w:rPr>
              <w:t>)</w:t>
            </w:r>
          </w:p>
          <w:p w:rsidR="00E06381" w:rsidRDefault="00E06381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>Apprentissage des multiplicati</w:t>
            </w:r>
            <w:bookmarkStart w:id="0" w:name="_GoBack"/>
            <w:bookmarkEnd w:id="0"/>
            <w:r>
              <w:rPr>
                <w:color w:val="000000"/>
              </w:rPr>
              <w:t>ons par 10</w:t>
            </w:r>
          </w:p>
          <w:p w:rsidR="00E96A96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rPr>
                <w:color w:val="000000"/>
              </w:rPr>
              <w:t>Mémorisation des tables de multiplication 3, 4 et 5</w:t>
            </w:r>
          </w:p>
          <w:p w:rsidR="00B71154" w:rsidRDefault="00B71154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96A96" w:rsidRDefault="00E06381" w:rsidP="00E96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Procédures</w:t>
            </w:r>
            <w:r>
              <w:rPr>
                <w:b/>
                <w:color w:val="000000"/>
              </w:rPr>
              <w:t xml:space="preserve"> CE1</w:t>
            </w:r>
          </w:p>
          <w:p w:rsidR="00E96A96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t xml:space="preserve"> </w:t>
            </w:r>
            <w:r w:rsidR="00E06381">
              <w:rPr>
                <w:color w:val="000000"/>
              </w:rPr>
              <w:t>D</w:t>
            </w:r>
            <w:r w:rsidR="00E06381" w:rsidRPr="00E06381">
              <w:rPr>
                <w:color w:val="000000"/>
              </w:rPr>
              <w:t>évelopper des procédures de calcul en mobilisant des propriétés multiplicatives : « 3 x 5 c’est pareil que</w:t>
            </w:r>
            <w:r w:rsidR="00E06381">
              <w:rPr>
                <w:color w:val="000000"/>
              </w:rPr>
              <w:t xml:space="preserve"> </w:t>
            </w:r>
            <w:r w:rsidR="00E06381" w:rsidRPr="00E06381">
              <w:rPr>
                <w:color w:val="000000"/>
              </w:rPr>
              <w:t>5 x 3 », « 3 × 5 × 2, c’est pareil que 3 × 10 » et sur des exemples très simples : « 12 x 5 = 10 x 5 + 2 x 5 ».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1" w:rsidRDefault="00E06381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Faits numériques </w:t>
            </w:r>
            <w:r>
              <w:rPr>
                <w:b/>
                <w:color w:val="000000"/>
              </w:rPr>
              <w:t>CE2</w:t>
            </w:r>
          </w:p>
          <w:p w:rsidR="00E06381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rPr>
                <w:color w:val="000000"/>
              </w:rPr>
              <w:t xml:space="preserve">Compléments à 1 000 et consolident </w:t>
            </w:r>
            <w:r w:rsidR="00E06381" w:rsidRPr="00E06381">
              <w:rPr>
                <w:color w:val="000000"/>
              </w:rPr>
              <w:t>leur aptitude à</w:t>
            </w:r>
            <w:r w:rsidR="00E06381">
              <w:rPr>
                <w:color w:val="000000"/>
              </w:rPr>
              <w:t xml:space="preserve"> chercher les compléments à la </w:t>
            </w:r>
            <w:r w:rsidR="00E06381" w:rsidRPr="00E06381">
              <w:rPr>
                <w:color w:val="000000"/>
              </w:rPr>
              <w:t>centaine supérieure.</w:t>
            </w:r>
          </w:p>
          <w:p w:rsidR="00E96A96" w:rsidRDefault="00E96A96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t>L</w:t>
            </w:r>
            <w:r w:rsidR="00E06381" w:rsidRPr="00E06381">
              <w:rPr>
                <w:color w:val="000000"/>
              </w:rPr>
              <w:t>es multiplications par 10 et par 100 ; et les tables de multiplication par 6, 7, 8, 9.</w:t>
            </w:r>
          </w:p>
          <w:p w:rsidR="00B71154" w:rsidRDefault="00B71154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96A96" w:rsidRDefault="00E06381" w:rsidP="0068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Procédures CE</w:t>
            </w:r>
            <w:r>
              <w:rPr>
                <w:b/>
                <w:color w:val="000000"/>
              </w:rPr>
              <w:t>2</w:t>
            </w:r>
          </w:p>
          <w:p w:rsidR="00E06381" w:rsidRPr="00E06381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E06381">
              <w:t>D</w:t>
            </w:r>
            <w:r w:rsidR="00E06381" w:rsidRPr="00E06381">
              <w:rPr>
                <w:color w:val="000000"/>
              </w:rPr>
              <w:t>évelopper des procédures de calcul en mobilisant la propriété suivante pour la soustraction : « 5 × 18</w:t>
            </w:r>
          </w:p>
          <w:p w:rsidR="00E96A96" w:rsidRDefault="00E06381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06381">
              <w:rPr>
                <w:color w:val="000000"/>
              </w:rPr>
              <w:t xml:space="preserve"> = 5 × 20 - 5 × 2 ».</w:t>
            </w:r>
          </w:p>
          <w:p w:rsidR="00E06381" w:rsidRPr="00E06381" w:rsidRDefault="00E96A96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B71154">
              <w:rPr>
                <w:color w:val="000000"/>
              </w:rPr>
              <w:t>Mobiliser</w:t>
            </w:r>
            <w:r w:rsidR="00E06381" w:rsidRPr="00E06381">
              <w:rPr>
                <w:color w:val="000000"/>
              </w:rPr>
              <w:t xml:space="preserve"> des propriétés et développ</w:t>
            </w:r>
            <w:r w:rsidR="00B71154">
              <w:rPr>
                <w:color w:val="000000"/>
              </w:rPr>
              <w:t>er</w:t>
            </w:r>
            <w:r w:rsidR="00E06381" w:rsidRPr="00E06381">
              <w:rPr>
                <w:color w:val="000000"/>
              </w:rPr>
              <w:t xml:space="preserve"> des procédures de calcul adaptées aux nombres en jeu pour obtenir le quotient et le reste d’une division euclidienne par un nombre à 1 chiffre et par des nombres comme 10, 25, 50, 100. </w:t>
            </w:r>
          </w:p>
          <w:p w:rsidR="00E96A96" w:rsidRDefault="00E06381" w:rsidP="00E0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06381">
              <w:rPr>
                <w:color w:val="000000"/>
              </w:rPr>
              <w:t>Par exemple à l’écrit : 92 = (9  x 10) + 2 ; et à l’oral : « 92 divisé par 9, il y a 10 fois 9 et il reste 2 »</w:t>
            </w:r>
          </w:p>
        </w:tc>
      </w:tr>
    </w:tbl>
    <w:p w:rsidR="00E96A96" w:rsidRDefault="00E96A96" w:rsidP="00E96A96"/>
    <w:p w:rsidR="00063601" w:rsidRDefault="00063601"/>
    <w:sectPr w:rsidR="00063601">
      <w:pgSz w:w="16838" w:h="11906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1"/>
    <w:rsid w:val="00063601"/>
    <w:rsid w:val="00241873"/>
    <w:rsid w:val="00B71154"/>
    <w:rsid w:val="00E06381"/>
    <w:rsid w:val="00E93189"/>
    <w:rsid w:val="00E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CBA"/>
  <w15:docId w15:val="{E301FA32-A903-4702-A15D-F125758D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girardin</dc:creator>
  <cp:lastModifiedBy>girardin</cp:lastModifiedBy>
  <cp:revision>4</cp:revision>
  <dcterms:created xsi:type="dcterms:W3CDTF">2019-01-22T08:27:00Z</dcterms:created>
  <dcterms:modified xsi:type="dcterms:W3CDTF">2019-01-22T08:29:00Z</dcterms:modified>
</cp:coreProperties>
</file>